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663DB">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附件3：评分标准</w:t>
      </w:r>
    </w:p>
    <w:p w14:paraId="7A1135AF">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0"/>
          <w:szCs w:val="30"/>
          <w:lang w:val="en-US" w:eastAsia="zh-CN"/>
        </w:rPr>
      </w:pPr>
    </w:p>
    <w:tbl>
      <w:tblPr>
        <w:tblStyle w:val="2"/>
        <w:tblW w:w="906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3"/>
        <w:gridCol w:w="687"/>
        <w:gridCol w:w="7115"/>
        <w:gridCol w:w="756"/>
      </w:tblGrid>
      <w:tr w14:paraId="762C95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503" w:type="dxa"/>
            <w:vAlign w:val="center"/>
          </w:tcPr>
          <w:p w14:paraId="68184C05">
            <w:pPr>
              <w:spacing w:before="156" w:beforeLines="50" w:after="156" w:after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687" w:type="dxa"/>
            <w:vAlign w:val="center"/>
          </w:tcPr>
          <w:p w14:paraId="1F6F741E">
            <w:pPr>
              <w:spacing w:before="156" w:beforeLines="50" w:after="156" w:after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评比项目</w:t>
            </w:r>
          </w:p>
        </w:tc>
        <w:tc>
          <w:tcPr>
            <w:tcW w:w="7115" w:type="dxa"/>
            <w:vAlign w:val="center"/>
          </w:tcPr>
          <w:p w14:paraId="235C72AA">
            <w:pPr>
              <w:spacing w:before="156" w:beforeLines="50" w:after="156" w:after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评比内容</w:t>
            </w:r>
          </w:p>
        </w:tc>
        <w:tc>
          <w:tcPr>
            <w:tcW w:w="756" w:type="dxa"/>
            <w:vAlign w:val="center"/>
          </w:tcPr>
          <w:p w14:paraId="3F830773">
            <w:pPr>
              <w:spacing w:before="156" w:beforeLines="50" w:after="156" w:after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满分</w:t>
            </w:r>
          </w:p>
        </w:tc>
      </w:tr>
      <w:tr w14:paraId="7C4E88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9" w:hRule="atLeast"/>
          <w:jc w:val="center"/>
        </w:trPr>
        <w:tc>
          <w:tcPr>
            <w:tcW w:w="9061" w:type="dxa"/>
            <w:gridSpan w:val="4"/>
            <w:vAlign w:val="center"/>
          </w:tcPr>
          <w:p w14:paraId="078ED4B9">
            <w:pPr>
              <w:spacing w:line="360" w:lineRule="auto"/>
              <w:jc w:val="center"/>
              <w:rPr>
                <w:rFonts w:hint="eastAsia" w:ascii="宋体" w:hAnsi="宋体" w:eastAsia="宋体" w:cs="宋体"/>
                <w:color w:val="auto"/>
                <w:sz w:val="24"/>
                <w:szCs w:val="24"/>
              </w:rPr>
            </w:pPr>
            <w:r>
              <w:rPr>
                <w:rFonts w:hint="eastAsia" w:ascii="宋体" w:hAnsi="宋体" w:eastAsia="宋体" w:cs="宋体"/>
                <w:b/>
                <w:bCs/>
                <w:color w:val="auto"/>
                <w:sz w:val="24"/>
                <w:szCs w:val="24"/>
              </w:rPr>
              <w:t>技术、商务部分（</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0分）</w:t>
            </w:r>
          </w:p>
        </w:tc>
      </w:tr>
      <w:tr w14:paraId="1C1BAC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6" w:hRule="atLeast"/>
          <w:jc w:val="center"/>
        </w:trPr>
        <w:tc>
          <w:tcPr>
            <w:tcW w:w="503" w:type="dxa"/>
            <w:vAlign w:val="center"/>
          </w:tcPr>
          <w:p w14:paraId="2B5531F0">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1</w:t>
            </w:r>
          </w:p>
        </w:tc>
        <w:tc>
          <w:tcPr>
            <w:tcW w:w="687" w:type="dxa"/>
            <w:vAlign w:val="center"/>
          </w:tcPr>
          <w:p w14:paraId="142B01F9">
            <w:pPr>
              <w:spacing w:line="36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技术响应部分</w:t>
            </w:r>
          </w:p>
        </w:tc>
        <w:tc>
          <w:tcPr>
            <w:tcW w:w="7115" w:type="dxa"/>
            <w:vAlign w:val="center"/>
          </w:tcPr>
          <w:p w14:paraId="16405CB3">
            <w:pPr>
              <w:spacing w:line="360" w:lineRule="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技术部分</w:t>
            </w:r>
            <w:r>
              <w:rPr>
                <w:rFonts w:hint="eastAsia" w:ascii="宋体" w:hAnsi="宋体" w:eastAsia="宋体" w:cs="宋体"/>
                <w:bCs/>
                <w:color w:val="auto"/>
                <w:sz w:val="24"/>
                <w:szCs w:val="24"/>
                <w:lang w:val="en-US" w:eastAsia="zh-CN"/>
              </w:rPr>
              <w:t>18</w:t>
            </w:r>
            <w:r>
              <w:rPr>
                <w:rFonts w:hint="eastAsia" w:ascii="宋体" w:hAnsi="宋体" w:eastAsia="宋体" w:cs="宋体"/>
                <w:bCs/>
                <w:color w:val="auto"/>
                <w:sz w:val="24"/>
                <w:szCs w:val="24"/>
                <w:lang w:val="zh-CN"/>
              </w:rPr>
              <w:t>分。供应商须对“采购需求”</w:t>
            </w:r>
            <w:r>
              <w:rPr>
                <w:rFonts w:hint="eastAsia" w:ascii="宋体" w:hAnsi="宋体" w:eastAsia="宋体" w:cs="宋体"/>
                <w:bCs/>
                <w:color w:val="auto"/>
                <w:sz w:val="24"/>
                <w:szCs w:val="24"/>
                <w:lang w:val="en-US" w:eastAsia="zh-CN"/>
              </w:rPr>
              <w:t>“四、技术参数要求”中的</w:t>
            </w:r>
            <w:r>
              <w:rPr>
                <w:rFonts w:hint="eastAsia" w:ascii="宋体" w:hAnsi="宋体" w:eastAsia="宋体" w:cs="宋体"/>
                <w:bCs/>
                <w:color w:val="auto"/>
                <w:sz w:val="24"/>
                <w:szCs w:val="24"/>
                <w:lang w:val="zh-CN"/>
              </w:rPr>
              <w:t>各项技术参数及功能要求的响应情况进行逐一响应，其中：带</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lang w:val="zh-CN"/>
              </w:rPr>
              <w:t>的指标不满足每个扣</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val="zh-CN"/>
              </w:rPr>
              <w:t>分，非</w:t>
            </w:r>
            <w:r>
              <w:rPr>
                <w:rFonts w:hint="eastAsia" w:ascii="宋体" w:hAnsi="宋体" w:eastAsia="宋体" w:cs="宋体"/>
                <w:color w:val="auto"/>
                <w:kern w:val="0"/>
                <w:sz w:val="24"/>
                <w:szCs w:val="24"/>
              </w:rPr>
              <w:t>★</w:t>
            </w:r>
            <w:r>
              <w:rPr>
                <w:rFonts w:hint="eastAsia" w:ascii="宋体" w:hAnsi="宋体" w:eastAsia="宋体" w:cs="宋体"/>
                <w:bCs/>
                <w:color w:val="auto"/>
                <w:sz w:val="24"/>
                <w:szCs w:val="24"/>
                <w:lang w:val="zh-CN"/>
              </w:rPr>
              <w:t>的指标不满足每个扣</w:t>
            </w:r>
            <w:r>
              <w:rPr>
                <w:rFonts w:hint="eastAsia" w:ascii="宋体" w:hAnsi="宋体" w:eastAsia="宋体" w:cs="宋体"/>
                <w:bCs/>
                <w:color w:val="auto"/>
                <w:sz w:val="24"/>
                <w:szCs w:val="24"/>
                <w:lang w:val="en-US" w:eastAsia="zh-CN"/>
              </w:rPr>
              <w:t>0.5</w:t>
            </w:r>
            <w:r>
              <w:rPr>
                <w:rFonts w:hint="eastAsia" w:ascii="宋体" w:hAnsi="宋体" w:eastAsia="宋体" w:cs="宋体"/>
                <w:bCs/>
                <w:color w:val="auto"/>
                <w:sz w:val="24"/>
                <w:szCs w:val="24"/>
                <w:lang w:val="zh-CN"/>
              </w:rPr>
              <w:t>分，扣完为止，本项满</w:t>
            </w:r>
            <w:r>
              <w:rPr>
                <w:rFonts w:hint="eastAsia" w:ascii="宋体" w:hAnsi="宋体" w:eastAsia="宋体" w:cs="宋体"/>
                <w:bCs/>
                <w:color w:val="auto"/>
                <w:sz w:val="24"/>
                <w:szCs w:val="24"/>
              </w:rPr>
              <w:t>分</w:t>
            </w:r>
            <w:r>
              <w:rPr>
                <w:rFonts w:hint="eastAsia" w:ascii="宋体" w:hAnsi="宋体" w:eastAsia="宋体" w:cs="宋体"/>
                <w:bCs/>
                <w:color w:val="auto"/>
                <w:sz w:val="24"/>
                <w:szCs w:val="24"/>
                <w:lang w:val="en-US" w:eastAsia="zh-CN"/>
              </w:rPr>
              <w:t>18</w:t>
            </w:r>
            <w:r>
              <w:rPr>
                <w:rFonts w:hint="eastAsia" w:ascii="宋体" w:hAnsi="宋体" w:eastAsia="宋体" w:cs="宋体"/>
                <w:bCs/>
                <w:color w:val="auto"/>
                <w:sz w:val="24"/>
                <w:szCs w:val="24"/>
                <w:lang w:val="zh-CN"/>
              </w:rPr>
              <w:t>分。</w:t>
            </w:r>
          </w:p>
          <w:p w14:paraId="528D2A22">
            <w:pPr>
              <w:spacing w:line="360" w:lineRule="auto"/>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注：1、竞争性磋商文件中要求的技术参数及功能要求为基本要求，供应商投标技术参数和功能要求优于或等于竞争性磋商文件的均不扣分，优于的须提供相关证明文件和说明。2、供应商须对所投标产品技术参数及功能要求的真实性负责，提供虚假印章、参数、证明或伪造、变更或虚假响应者，按废标处理并将上报政府采购主管部门进行严肃处理。</w:t>
            </w:r>
          </w:p>
        </w:tc>
        <w:tc>
          <w:tcPr>
            <w:tcW w:w="756" w:type="dxa"/>
            <w:vAlign w:val="center"/>
          </w:tcPr>
          <w:p w14:paraId="47CFA07F">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分</w:t>
            </w:r>
          </w:p>
        </w:tc>
      </w:tr>
      <w:tr w14:paraId="554597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6" w:hRule="atLeast"/>
          <w:jc w:val="center"/>
        </w:trPr>
        <w:tc>
          <w:tcPr>
            <w:tcW w:w="503" w:type="dxa"/>
            <w:vMerge w:val="restart"/>
            <w:vAlign w:val="center"/>
          </w:tcPr>
          <w:p w14:paraId="63AB93BA">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2</w:t>
            </w:r>
          </w:p>
        </w:tc>
        <w:tc>
          <w:tcPr>
            <w:tcW w:w="687" w:type="dxa"/>
            <w:vMerge w:val="restart"/>
            <w:vAlign w:val="center"/>
          </w:tcPr>
          <w:p w14:paraId="35712D6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团队配置</w:t>
            </w:r>
          </w:p>
        </w:tc>
        <w:tc>
          <w:tcPr>
            <w:tcW w:w="7115" w:type="dxa"/>
            <w:vAlign w:val="center"/>
          </w:tcPr>
          <w:p w14:paraId="7AD887BD">
            <w:pPr>
              <w:widowControl/>
              <w:spacing w:line="360" w:lineRule="auto"/>
              <w:jc w:val="left"/>
              <w:textAlignment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投标人任命的项目</w:t>
            </w:r>
            <w:r>
              <w:rPr>
                <w:rFonts w:hint="eastAsia" w:ascii="宋体" w:hAnsi="宋体" w:eastAsia="宋体" w:cs="宋体"/>
                <w:color w:val="auto"/>
                <w:sz w:val="24"/>
                <w:szCs w:val="24"/>
                <w:lang w:val="en-US" w:eastAsia="zh-CN"/>
              </w:rPr>
              <w:t>经理</w:t>
            </w:r>
            <w:r>
              <w:rPr>
                <w:rFonts w:hint="eastAsia" w:ascii="宋体" w:hAnsi="宋体" w:eastAsia="宋体" w:cs="宋体"/>
                <w:color w:val="auto"/>
                <w:sz w:val="24"/>
                <w:szCs w:val="24"/>
                <w:lang w:val="zh-CN"/>
              </w:rPr>
              <w:t>具备国家人力资源和社会保障部、工业和信息化部颁发的：信息系统项目管理师、通信专业技术人员职业水平中级（传输与接入）、通信专业技术人员职业水平中级（互联网技术），项目技术负责人同时具备上述3个认证证书的得满分，缺少一个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分，不提供不得分。</w:t>
            </w:r>
          </w:p>
          <w:p w14:paraId="5A3CE10E">
            <w:pPr>
              <w:widowControl/>
              <w:spacing w:line="360" w:lineRule="auto"/>
              <w:jc w:val="left"/>
              <w:textAlignment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（提供证书复印件并加盖公章；提供投标公司为该持证人员在本单位缴纳</w:t>
            </w:r>
            <w:r>
              <w:rPr>
                <w:rFonts w:hint="eastAsia" w:ascii="宋体" w:hAnsi="宋体" w:eastAsia="宋体" w:cs="宋体"/>
                <w:color w:val="auto"/>
                <w:sz w:val="24"/>
                <w:szCs w:val="24"/>
                <w:lang w:val="en-US" w:eastAsia="zh-CN"/>
              </w:rPr>
              <w:t>近3</w:t>
            </w:r>
            <w:r>
              <w:rPr>
                <w:rFonts w:hint="eastAsia" w:ascii="宋体" w:hAnsi="宋体" w:eastAsia="宋体" w:cs="宋体"/>
                <w:color w:val="auto"/>
                <w:sz w:val="24"/>
                <w:szCs w:val="24"/>
                <w:lang w:val="zh-CN"/>
              </w:rPr>
              <w:t>个月的社保记录并加盖公章，同一人员不得参与其他证书评分）</w:t>
            </w:r>
          </w:p>
        </w:tc>
        <w:tc>
          <w:tcPr>
            <w:tcW w:w="756" w:type="dxa"/>
            <w:vAlign w:val="center"/>
          </w:tcPr>
          <w:p w14:paraId="192BAEE2">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6分</w:t>
            </w:r>
          </w:p>
        </w:tc>
      </w:tr>
      <w:tr w14:paraId="6AF918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5" w:hRule="atLeast"/>
          <w:jc w:val="center"/>
        </w:trPr>
        <w:tc>
          <w:tcPr>
            <w:tcW w:w="503" w:type="dxa"/>
            <w:vMerge w:val="continue"/>
            <w:vAlign w:val="center"/>
          </w:tcPr>
          <w:p w14:paraId="1796D345">
            <w:pPr>
              <w:spacing w:line="360" w:lineRule="auto"/>
              <w:jc w:val="center"/>
              <w:rPr>
                <w:rFonts w:hint="eastAsia" w:ascii="宋体" w:hAnsi="宋体" w:eastAsia="宋体" w:cs="宋体"/>
                <w:b/>
                <w:color w:val="auto"/>
                <w:sz w:val="24"/>
                <w:szCs w:val="24"/>
              </w:rPr>
            </w:pPr>
          </w:p>
        </w:tc>
        <w:tc>
          <w:tcPr>
            <w:tcW w:w="687" w:type="dxa"/>
            <w:vMerge w:val="continue"/>
            <w:vAlign w:val="center"/>
          </w:tcPr>
          <w:p w14:paraId="3A70D42E">
            <w:pPr>
              <w:spacing w:line="360" w:lineRule="auto"/>
              <w:jc w:val="center"/>
              <w:rPr>
                <w:rFonts w:hint="eastAsia" w:ascii="宋体" w:hAnsi="宋体" w:eastAsia="宋体" w:cs="宋体"/>
                <w:color w:val="auto"/>
                <w:kern w:val="0"/>
                <w:sz w:val="24"/>
                <w:szCs w:val="24"/>
              </w:rPr>
            </w:pPr>
          </w:p>
        </w:tc>
        <w:tc>
          <w:tcPr>
            <w:tcW w:w="7115" w:type="dxa"/>
            <w:vAlign w:val="center"/>
          </w:tcPr>
          <w:p w14:paraId="5701DED3">
            <w:pPr>
              <w:widowControl/>
              <w:spacing w:line="360" w:lineRule="auto"/>
              <w:jc w:val="left"/>
              <w:textAlignment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投标人任命的项目技术负责人需具备信息系统项目管理师、系统规划与管理师，技术负责人同时具备上述</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个认证证书的得满分，缺少一个扣</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分，不提供不得分。</w:t>
            </w:r>
          </w:p>
          <w:p w14:paraId="0AA0BE3F">
            <w:pPr>
              <w:widowControl/>
              <w:spacing w:line="360" w:lineRule="auto"/>
              <w:jc w:val="left"/>
              <w:textAlignment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（提供证书复印件并加盖公章；提供投标公司为该持证人员在本单位</w:t>
            </w:r>
            <w:r>
              <w:rPr>
                <w:rFonts w:hint="eastAsia" w:ascii="宋体" w:hAnsi="宋体" w:eastAsia="宋体" w:cs="宋体"/>
                <w:color w:val="auto"/>
                <w:sz w:val="24"/>
                <w:szCs w:val="24"/>
                <w:lang w:val="en-US" w:eastAsia="zh-CN"/>
              </w:rPr>
              <w:t>近3</w:t>
            </w:r>
            <w:r>
              <w:rPr>
                <w:rFonts w:hint="eastAsia" w:ascii="宋体" w:hAnsi="宋体" w:eastAsia="宋体" w:cs="宋体"/>
                <w:color w:val="auto"/>
                <w:sz w:val="24"/>
                <w:szCs w:val="24"/>
                <w:lang w:val="zh-CN"/>
              </w:rPr>
              <w:t>个月的社保记录并加盖公章，同一人员不得参与其他证书评分）</w:t>
            </w:r>
          </w:p>
        </w:tc>
        <w:tc>
          <w:tcPr>
            <w:tcW w:w="756" w:type="dxa"/>
            <w:vAlign w:val="center"/>
          </w:tcPr>
          <w:p w14:paraId="32005F4C">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14:paraId="250DFA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56" w:hRule="atLeast"/>
          <w:jc w:val="center"/>
        </w:trPr>
        <w:tc>
          <w:tcPr>
            <w:tcW w:w="503" w:type="dxa"/>
            <w:vMerge w:val="continue"/>
            <w:vAlign w:val="center"/>
          </w:tcPr>
          <w:p w14:paraId="00F5CA85">
            <w:pPr>
              <w:spacing w:line="360" w:lineRule="auto"/>
              <w:jc w:val="center"/>
              <w:rPr>
                <w:rFonts w:hint="eastAsia" w:ascii="宋体" w:hAnsi="宋体" w:eastAsia="宋体" w:cs="宋体"/>
                <w:b/>
                <w:color w:val="auto"/>
                <w:sz w:val="24"/>
                <w:szCs w:val="24"/>
              </w:rPr>
            </w:pPr>
          </w:p>
        </w:tc>
        <w:tc>
          <w:tcPr>
            <w:tcW w:w="687" w:type="dxa"/>
            <w:vMerge w:val="continue"/>
            <w:vAlign w:val="center"/>
          </w:tcPr>
          <w:p w14:paraId="1FD849A8">
            <w:pPr>
              <w:spacing w:line="360" w:lineRule="auto"/>
              <w:jc w:val="center"/>
              <w:rPr>
                <w:rFonts w:hint="eastAsia" w:ascii="宋体" w:hAnsi="宋体" w:eastAsia="宋体" w:cs="宋体"/>
                <w:color w:val="auto"/>
                <w:kern w:val="0"/>
                <w:sz w:val="24"/>
                <w:szCs w:val="24"/>
              </w:rPr>
            </w:pPr>
          </w:p>
        </w:tc>
        <w:tc>
          <w:tcPr>
            <w:tcW w:w="7115" w:type="dxa"/>
            <w:vAlign w:val="center"/>
          </w:tcPr>
          <w:p w14:paraId="7C1324D2">
            <w:pPr>
              <w:widowControl/>
              <w:spacing w:line="360" w:lineRule="auto"/>
              <w:jc w:val="left"/>
              <w:textAlignment w:val="center"/>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投标人任命的项目</w:t>
            </w:r>
            <w:r>
              <w:rPr>
                <w:rFonts w:hint="eastAsia" w:ascii="宋体" w:hAnsi="宋体" w:eastAsia="宋体" w:cs="宋体"/>
                <w:color w:val="auto"/>
                <w:sz w:val="24"/>
                <w:szCs w:val="24"/>
                <w:lang w:val="en-US" w:eastAsia="zh-CN"/>
              </w:rPr>
              <w:t>团队成员</w:t>
            </w:r>
            <w:r>
              <w:rPr>
                <w:rFonts w:hint="eastAsia" w:ascii="宋体" w:hAnsi="宋体" w:eastAsia="宋体" w:cs="宋体"/>
                <w:color w:val="auto"/>
                <w:sz w:val="24"/>
                <w:szCs w:val="24"/>
                <w:lang w:val="zh-CN"/>
              </w:rPr>
              <w:t>需具备</w:t>
            </w:r>
            <w:r>
              <w:rPr>
                <w:rFonts w:hint="eastAsia" w:ascii="宋体" w:hAnsi="宋体" w:eastAsia="宋体" w:cs="宋体"/>
                <w:color w:val="auto"/>
                <w:sz w:val="24"/>
                <w:szCs w:val="24"/>
                <w:lang w:val="en-US" w:eastAsia="zh-CN"/>
              </w:rPr>
              <w:t>网络工程师</w:t>
            </w:r>
            <w:r>
              <w:rPr>
                <w:rFonts w:hint="eastAsia" w:ascii="宋体" w:hAnsi="宋体" w:eastAsia="宋体" w:cs="宋体"/>
                <w:color w:val="auto"/>
                <w:sz w:val="24"/>
                <w:szCs w:val="24"/>
                <w:lang w:val="zh-CN"/>
              </w:rPr>
              <w:t>证书，</w:t>
            </w:r>
            <w:r>
              <w:rPr>
                <w:rFonts w:hint="eastAsia" w:ascii="宋体" w:hAnsi="宋体" w:eastAsia="宋体" w:cs="宋体"/>
                <w:color w:val="auto"/>
                <w:sz w:val="24"/>
                <w:szCs w:val="24"/>
                <w:lang w:val="en-US" w:eastAsia="zh-CN"/>
              </w:rPr>
              <w:t>提供一个得2分，满分6分</w:t>
            </w:r>
            <w:r>
              <w:rPr>
                <w:rFonts w:hint="eastAsia" w:ascii="宋体" w:hAnsi="宋体" w:eastAsia="宋体" w:cs="宋体"/>
                <w:color w:val="auto"/>
                <w:sz w:val="24"/>
                <w:szCs w:val="24"/>
                <w:lang w:val="zh-CN"/>
              </w:rPr>
              <w:t>，不提供不得分。</w:t>
            </w:r>
          </w:p>
          <w:p w14:paraId="29B16E2A">
            <w:pPr>
              <w:widowControl/>
              <w:spacing w:line="360" w:lineRule="auto"/>
              <w:jc w:val="left"/>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val="zh-CN"/>
              </w:rPr>
              <w:t>（提供证书复印件并加盖公章；提供投标公司为该持证人员在本单位</w:t>
            </w:r>
            <w:r>
              <w:rPr>
                <w:rFonts w:hint="eastAsia" w:ascii="宋体" w:hAnsi="宋体" w:eastAsia="宋体" w:cs="宋体"/>
                <w:color w:val="auto"/>
                <w:sz w:val="24"/>
                <w:szCs w:val="24"/>
                <w:lang w:val="en-US" w:eastAsia="zh-CN"/>
              </w:rPr>
              <w:t>近3</w:t>
            </w:r>
            <w:r>
              <w:rPr>
                <w:rFonts w:hint="eastAsia" w:ascii="宋体" w:hAnsi="宋体" w:eastAsia="宋体" w:cs="宋体"/>
                <w:color w:val="auto"/>
                <w:sz w:val="24"/>
                <w:szCs w:val="24"/>
                <w:lang w:val="zh-CN"/>
              </w:rPr>
              <w:t>个月的社保记录并加盖公章，同一人员不得参与其他证书评分）</w:t>
            </w:r>
          </w:p>
        </w:tc>
        <w:tc>
          <w:tcPr>
            <w:tcW w:w="756" w:type="dxa"/>
            <w:vAlign w:val="center"/>
          </w:tcPr>
          <w:p w14:paraId="1DEAA18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6DA2AD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46" w:hRule="atLeast"/>
          <w:jc w:val="center"/>
        </w:trPr>
        <w:tc>
          <w:tcPr>
            <w:tcW w:w="503" w:type="dxa"/>
            <w:vAlign w:val="center"/>
          </w:tcPr>
          <w:p w14:paraId="22E6897F">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w:t>
            </w:r>
          </w:p>
        </w:tc>
        <w:tc>
          <w:tcPr>
            <w:tcW w:w="687" w:type="dxa"/>
            <w:vAlign w:val="center"/>
          </w:tcPr>
          <w:p w14:paraId="0D02CB14">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业绩经验</w:t>
            </w:r>
          </w:p>
        </w:tc>
        <w:tc>
          <w:tcPr>
            <w:tcW w:w="7115" w:type="dxa"/>
            <w:vAlign w:val="center"/>
          </w:tcPr>
          <w:p w14:paraId="7F5D08F8">
            <w:pPr>
              <w:widowControl/>
              <w:spacing w:line="360" w:lineRule="auto"/>
              <w:jc w:val="left"/>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w:t>
            </w:r>
            <w:r>
              <w:rPr>
                <w:rFonts w:hint="eastAsia" w:ascii="宋体" w:hAnsi="宋体" w:eastAsia="宋体" w:cs="宋体"/>
                <w:color w:val="auto"/>
                <w:kern w:val="0"/>
                <w:sz w:val="24"/>
                <w:szCs w:val="24"/>
                <w:lang w:val="en-US" w:eastAsia="zh-CN"/>
              </w:rPr>
              <w:t>22</w:t>
            </w:r>
            <w:r>
              <w:rPr>
                <w:rFonts w:hint="eastAsia" w:ascii="宋体" w:hAnsi="宋体" w:eastAsia="宋体" w:cs="宋体"/>
                <w:color w:val="auto"/>
                <w:kern w:val="0"/>
                <w:sz w:val="24"/>
                <w:szCs w:val="24"/>
              </w:rPr>
              <w:t>年1月1日以来，供应商具有同类项目业绩，每提供一个得</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分，满分15分，不提供不得分。（提供合同关键页复印件并加盖公章）</w:t>
            </w:r>
          </w:p>
        </w:tc>
        <w:tc>
          <w:tcPr>
            <w:tcW w:w="756" w:type="dxa"/>
            <w:vAlign w:val="center"/>
          </w:tcPr>
          <w:p w14:paraId="67C2B4A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15分</w:t>
            </w:r>
          </w:p>
        </w:tc>
      </w:tr>
      <w:tr w14:paraId="3A7EB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5" w:hRule="atLeast"/>
          <w:jc w:val="center"/>
        </w:trPr>
        <w:tc>
          <w:tcPr>
            <w:tcW w:w="503" w:type="dxa"/>
            <w:vAlign w:val="center"/>
          </w:tcPr>
          <w:p w14:paraId="2D868077">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4</w:t>
            </w:r>
          </w:p>
        </w:tc>
        <w:tc>
          <w:tcPr>
            <w:tcW w:w="687" w:type="dxa"/>
            <w:vAlign w:val="center"/>
          </w:tcPr>
          <w:p w14:paraId="205AD438">
            <w:pPr>
              <w:widowControl/>
              <w:spacing w:line="440" w:lineRule="exact"/>
              <w:jc w:val="center"/>
              <w:rPr>
                <w:rFonts w:hint="eastAsia" w:ascii="宋体" w:hAnsi="宋体" w:eastAsia="宋体" w:cs="宋体"/>
                <w:color w:val="auto"/>
                <w:sz w:val="24"/>
                <w:szCs w:val="24"/>
                <w:lang w:val="zh-TW" w:eastAsia="zh-TW"/>
              </w:rPr>
            </w:pPr>
            <w:r>
              <w:rPr>
                <w:rFonts w:hint="eastAsia" w:ascii="宋体" w:hAnsi="宋体" w:eastAsia="宋体" w:cs="宋体"/>
                <w:color w:val="auto"/>
                <w:sz w:val="24"/>
                <w:szCs w:val="24"/>
                <w:lang w:val="zh-TW" w:eastAsia="zh-TW"/>
              </w:rPr>
              <w:t>设计方案</w:t>
            </w:r>
          </w:p>
        </w:tc>
        <w:tc>
          <w:tcPr>
            <w:tcW w:w="7115" w:type="dxa"/>
            <w:vAlign w:val="center"/>
          </w:tcPr>
          <w:p w14:paraId="6E64DAB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根据投标人对项目的理解、认识，设计方案的详细、完整、科学、合理性等方面评比，设计方案优得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分，良得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分，差得0分。</w:t>
            </w:r>
          </w:p>
        </w:tc>
        <w:tc>
          <w:tcPr>
            <w:tcW w:w="756" w:type="dxa"/>
            <w:vAlign w:val="center"/>
          </w:tcPr>
          <w:p w14:paraId="30E72F32">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r>
      <w:tr w14:paraId="24697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503" w:type="dxa"/>
            <w:vAlign w:val="center"/>
          </w:tcPr>
          <w:p w14:paraId="14095FF7">
            <w:pPr>
              <w:spacing w:line="360" w:lineRule="auto"/>
              <w:jc w:val="center"/>
              <w:rPr>
                <w:rFonts w:hint="eastAsia" w:ascii="宋体" w:hAnsi="宋体" w:eastAsia="宋体" w:cs="宋体"/>
                <w:color w:val="auto"/>
                <w:sz w:val="24"/>
                <w:szCs w:val="24"/>
              </w:rPr>
            </w:pPr>
            <w:r>
              <w:rPr>
                <w:rFonts w:hint="eastAsia" w:ascii="宋体" w:hAnsi="宋体" w:eastAsia="宋体" w:cs="宋体"/>
                <w:b/>
                <w:color w:val="auto"/>
                <w:sz w:val="24"/>
                <w:szCs w:val="24"/>
              </w:rPr>
              <w:t>5</w:t>
            </w:r>
          </w:p>
        </w:tc>
        <w:tc>
          <w:tcPr>
            <w:tcW w:w="687" w:type="dxa"/>
            <w:vAlign w:val="center"/>
          </w:tcPr>
          <w:p w14:paraId="57EF5333">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7115" w:type="dxa"/>
            <w:vAlign w:val="center"/>
          </w:tcPr>
          <w:p w14:paraId="4968987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根据投标人项目实施方案（包含实施组织计划、实施组织管理及项目进度管理措施等方案内容）进行评分，项目实施方案优于项目需求得</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分，完全满足项目需求得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分，差得0分。不提供者不得分。</w:t>
            </w:r>
          </w:p>
        </w:tc>
        <w:tc>
          <w:tcPr>
            <w:tcW w:w="756" w:type="dxa"/>
            <w:vAlign w:val="center"/>
          </w:tcPr>
          <w:p w14:paraId="4682B2BD">
            <w:pPr>
              <w:widowControl/>
              <w:spacing w:line="440" w:lineRule="exact"/>
              <w:jc w:val="center"/>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分</w:t>
            </w:r>
          </w:p>
        </w:tc>
      </w:tr>
      <w:tr w14:paraId="2DC2BB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503" w:type="dxa"/>
            <w:vAlign w:val="center"/>
          </w:tcPr>
          <w:p w14:paraId="25D053BD">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6</w:t>
            </w:r>
          </w:p>
        </w:tc>
        <w:tc>
          <w:tcPr>
            <w:tcW w:w="687" w:type="dxa"/>
            <w:vAlign w:val="center"/>
          </w:tcPr>
          <w:p w14:paraId="648EC705">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服务方案</w:t>
            </w:r>
          </w:p>
        </w:tc>
        <w:tc>
          <w:tcPr>
            <w:tcW w:w="7115" w:type="dxa"/>
            <w:vAlign w:val="center"/>
          </w:tcPr>
          <w:p w14:paraId="4F4822B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投标人售后服务方案（包含但不限于售后技术、设备保障措施、应急措施及售后服务拟派出的人员情况、售后服务承诺、服务能力、保修情况承诺及提供合理化建议等内容）进行评分，售后服务优于项目需求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分，完全满足项目需求得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分，一般得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分，不提供者不得分。</w:t>
            </w:r>
          </w:p>
        </w:tc>
        <w:tc>
          <w:tcPr>
            <w:tcW w:w="756" w:type="dxa"/>
            <w:vAlign w:val="center"/>
          </w:tcPr>
          <w:p w14:paraId="11198271">
            <w:pPr>
              <w:widowControl/>
              <w:spacing w:line="44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w:t>
            </w:r>
          </w:p>
        </w:tc>
      </w:tr>
      <w:tr w14:paraId="66FAA7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9061" w:type="dxa"/>
            <w:gridSpan w:val="4"/>
            <w:vAlign w:val="center"/>
          </w:tcPr>
          <w:p w14:paraId="358DCE1E">
            <w:pPr>
              <w:spacing w:before="156" w:beforeLines="50" w:after="156" w:afterLines="50" w:line="360" w:lineRule="auto"/>
              <w:jc w:val="center"/>
              <w:rPr>
                <w:rFonts w:hint="eastAsia" w:ascii="宋体" w:hAnsi="宋体" w:eastAsia="宋体" w:cs="宋体"/>
                <w:bCs/>
                <w:color w:val="auto"/>
                <w:sz w:val="24"/>
                <w:szCs w:val="24"/>
              </w:rPr>
            </w:pPr>
            <w:r>
              <w:rPr>
                <w:rFonts w:hint="eastAsia" w:ascii="宋体" w:hAnsi="宋体" w:eastAsia="宋体" w:cs="宋体"/>
                <w:b/>
                <w:bCs/>
                <w:color w:val="auto"/>
                <w:sz w:val="24"/>
                <w:szCs w:val="24"/>
              </w:rPr>
              <w:t>价格部分（</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0分）</w:t>
            </w:r>
          </w:p>
        </w:tc>
      </w:tr>
      <w:tr w14:paraId="5C0319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13" w:hRule="atLeast"/>
          <w:jc w:val="center"/>
        </w:trPr>
        <w:tc>
          <w:tcPr>
            <w:tcW w:w="503" w:type="dxa"/>
            <w:vAlign w:val="center"/>
          </w:tcPr>
          <w:p w14:paraId="182C7BFE">
            <w:pPr>
              <w:spacing w:before="156" w:beforeLines="50" w:after="156" w:afterLines="50"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7</w:t>
            </w:r>
          </w:p>
        </w:tc>
        <w:tc>
          <w:tcPr>
            <w:tcW w:w="687" w:type="dxa"/>
            <w:vAlign w:val="center"/>
          </w:tcPr>
          <w:p w14:paraId="0F975621">
            <w:pPr>
              <w:spacing w:before="156" w:beforeLines="50" w:after="156" w:afterLines="50" w:line="360" w:lineRule="auto"/>
              <w:jc w:val="center"/>
              <w:rPr>
                <w:rFonts w:hint="eastAsia" w:ascii="宋体" w:hAnsi="宋体" w:eastAsia="宋体" w:cs="宋体"/>
                <w:bCs/>
                <w:color w:val="auto"/>
                <w:sz w:val="24"/>
                <w:szCs w:val="24"/>
              </w:rPr>
            </w:pPr>
            <w:r>
              <w:rPr>
                <w:rFonts w:hint="eastAsia" w:ascii="宋体" w:hAnsi="宋体" w:eastAsia="宋体" w:cs="宋体"/>
                <w:color w:val="auto"/>
                <w:sz w:val="24"/>
                <w:szCs w:val="24"/>
              </w:rPr>
              <w:t>投标报价得分</w:t>
            </w:r>
          </w:p>
        </w:tc>
        <w:tc>
          <w:tcPr>
            <w:tcW w:w="7115" w:type="dxa"/>
            <w:vAlign w:val="center"/>
          </w:tcPr>
          <w:p w14:paraId="032CF333">
            <w:pPr>
              <w:spacing w:before="156" w:beforeLines="50" w:after="156" w:afterLines="50" w:line="360" w:lineRule="auto"/>
              <w:rPr>
                <w:rFonts w:hint="eastAsia" w:ascii="宋体" w:hAnsi="宋体" w:eastAsia="宋体" w:cs="宋体"/>
                <w:bCs/>
                <w:color w:val="auto"/>
                <w:sz w:val="24"/>
                <w:szCs w:val="24"/>
              </w:rPr>
            </w:pPr>
            <w:r>
              <w:rPr>
                <w:rFonts w:hint="eastAsia" w:ascii="宋体" w:hAnsi="宋体" w:eastAsia="宋体" w:cs="宋体"/>
                <w:b/>
                <w:bCs/>
                <w:color w:val="auto"/>
                <w:sz w:val="24"/>
                <w:szCs w:val="24"/>
              </w:rPr>
              <w:t>评审基准价：</w:t>
            </w:r>
            <w:r>
              <w:rPr>
                <w:rFonts w:hint="eastAsia" w:ascii="宋体" w:hAnsi="宋体" w:eastAsia="宋体" w:cs="宋体"/>
                <w:bCs/>
                <w:color w:val="auto"/>
                <w:sz w:val="24"/>
                <w:szCs w:val="24"/>
              </w:rPr>
              <w:t>通过资格性审查和符合性审查且第二次报价最低的投标报价为评审基准价。</w:t>
            </w:r>
          </w:p>
          <w:p w14:paraId="6941ED1E">
            <w:pPr>
              <w:spacing w:before="156" w:beforeLines="50" w:after="156" w:afterLines="50" w:line="360" w:lineRule="auto"/>
              <w:rPr>
                <w:rFonts w:hint="eastAsia" w:ascii="宋体" w:hAnsi="宋体" w:eastAsia="宋体" w:cs="宋体"/>
                <w:bCs/>
                <w:color w:val="auto"/>
                <w:sz w:val="24"/>
                <w:szCs w:val="24"/>
              </w:rPr>
            </w:pPr>
            <w:r>
              <w:rPr>
                <w:rFonts w:hint="eastAsia" w:ascii="宋体" w:hAnsi="宋体" w:eastAsia="宋体" w:cs="宋体"/>
                <w:b/>
                <w:bCs/>
                <w:color w:val="auto"/>
                <w:sz w:val="24"/>
                <w:szCs w:val="24"/>
              </w:rPr>
              <w:t>投标报价得分：</w:t>
            </w:r>
            <w:r>
              <w:rPr>
                <w:rFonts w:hint="eastAsia" w:ascii="宋体" w:hAnsi="宋体" w:eastAsia="宋体" w:cs="宋体"/>
                <w:bCs/>
                <w:color w:val="auto"/>
                <w:sz w:val="24"/>
                <w:szCs w:val="24"/>
              </w:rPr>
              <w:t>投标报价得分统一按照下列公式计算：</w:t>
            </w:r>
          </w:p>
          <w:p w14:paraId="18EF5B4D">
            <w:pPr>
              <w:spacing w:before="156" w:beforeLines="50" w:after="156" w:afterLines="50" w:line="360" w:lineRule="auto"/>
              <w:rPr>
                <w:rFonts w:hint="eastAsia" w:ascii="宋体" w:hAnsi="宋体" w:eastAsia="宋体" w:cs="宋体"/>
                <w:bCs/>
                <w:color w:val="auto"/>
                <w:sz w:val="24"/>
                <w:szCs w:val="24"/>
              </w:rPr>
            </w:pPr>
            <w:r>
              <w:rPr>
                <w:rFonts w:hint="eastAsia" w:ascii="宋体" w:hAnsi="宋体" w:eastAsia="宋体" w:cs="宋体"/>
                <w:bCs/>
                <w:color w:val="auto"/>
                <w:sz w:val="24"/>
                <w:szCs w:val="24"/>
              </w:rPr>
              <w:t>价格分=(评审基准价／投标报价)×价格权值（</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0%）×100</w:t>
            </w:r>
          </w:p>
        </w:tc>
        <w:tc>
          <w:tcPr>
            <w:tcW w:w="756" w:type="dxa"/>
            <w:vAlign w:val="center"/>
          </w:tcPr>
          <w:p w14:paraId="5CCB59F2">
            <w:pPr>
              <w:spacing w:before="156" w:beforeLines="50" w:after="156" w:afterLines="50"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0分</w:t>
            </w:r>
          </w:p>
        </w:tc>
      </w:tr>
    </w:tbl>
    <w:p w14:paraId="3CB0D8C5">
      <w:pPr>
        <w:snapToGrid w:val="0"/>
        <w:spacing w:line="360" w:lineRule="auto"/>
        <w:jc w:val="left"/>
        <w:rPr>
          <w:rFonts w:ascii="宋体" w:hAnsi="宋体" w:cs="宋体"/>
          <w:color w:val="auto"/>
          <w:sz w:val="24"/>
          <w:szCs w:val="24"/>
        </w:rPr>
      </w:pPr>
    </w:p>
    <w:p w14:paraId="10E8F995">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400CE"/>
    <w:rsid w:val="4554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2025-03-25T01:06:00Z</dcterms:created>
  <dc:creator>Mr.Wu</dc:creator>
  <cp:lastModifiedBy>Mr.Wu</cp:lastModifiedBy>
  <dcterms:modified xsi:type="dcterms:W3CDTF">2025-03-25T01:06:17Z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B1FD8DD6A5E64C03AB13A6A3EB82ECD7_11</vt:lpwstr>
  </property>
  <property fmtid="{D5CDD505-2E9C-101B-9397-08002B2CF9AE}" pid="4" name="KSOTemplateDocerSaveRecord">
    <vt:lpwstr>eyJoZGlkIjoiODhmODQyODVkNDQzZDk3NTcwYTVmZjBiODM4OTk0NzIiLCJ1c2VySWQiOiI0NjE0OTM5NjgifQ==</vt:lpwstr>
  </property>
</Properties>
</file>