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BD2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附件1：</w:t>
      </w:r>
    </w:p>
    <w:p w14:paraId="4F7EA9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采购需求</w:t>
      </w:r>
    </w:p>
    <w:p w14:paraId="4FFEB24D">
      <w:pPr>
        <w:ind w:firstLine="600" w:firstLineChars="200"/>
        <w:jc w:val="left"/>
        <w:rPr>
          <w:rFonts w:ascii="Calibri" w:hAnsi="Calibri" w:cs="Times New Roman"/>
          <w:szCs w:val="22"/>
        </w:rPr>
      </w:pPr>
      <w:r>
        <w:rPr>
          <w:rFonts w:hint="eastAsia" w:ascii="仿宋_GB2312" w:hAnsi="仿宋_GB2312" w:eastAsia="仿宋_GB2312" w:cs="仿宋_GB2312"/>
          <w:sz w:val="30"/>
          <w:szCs w:val="30"/>
        </w:rPr>
        <w:t>通过专业的等级保护测评服务，对我</w:t>
      </w:r>
      <w:r>
        <w:rPr>
          <w:rFonts w:hint="eastAsia" w:ascii="仿宋_GB2312" w:hAnsi="仿宋_GB2312" w:eastAsia="仿宋_GB2312" w:cs="仿宋_GB2312"/>
          <w:sz w:val="30"/>
          <w:szCs w:val="30"/>
          <w:lang w:eastAsia="zh-CN"/>
        </w:rPr>
        <w:t>中心</w:t>
      </w:r>
      <w:r>
        <w:rPr>
          <w:rFonts w:hint="eastAsia" w:ascii="仿宋_GB2312" w:hAnsi="仿宋_GB2312" w:eastAsia="仿宋_GB2312" w:cs="仿宋_GB2312"/>
          <w:sz w:val="30"/>
          <w:szCs w:val="30"/>
          <w:lang w:val="en-US" w:eastAsia="zh-CN"/>
        </w:rPr>
        <w:t>系统状态为运行</w:t>
      </w:r>
      <w:r>
        <w:rPr>
          <w:rFonts w:hint="eastAsia" w:ascii="仿宋_GB2312" w:hAnsi="仿宋_GB2312" w:eastAsia="仿宋_GB2312" w:cs="仿宋_GB2312"/>
          <w:sz w:val="30"/>
          <w:szCs w:val="30"/>
        </w:rPr>
        <w:t>的信息系统进行等保测评分析。依据《网络安全等级保护基本要求》，对被测系统的安全防护措施进行合规性检查，并出具《网络安全等级保护测评报告》并针对测评报告提出具有针对性的整改建议</w:t>
      </w:r>
      <w:r>
        <w:rPr>
          <w:rFonts w:hint="eastAsia" w:ascii="仿宋_GB2312" w:hAnsi="仿宋_GB2312" w:eastAsia="仿宋_GB2312" w:cs="仿宋_GB2312"/>
          <w:sz w:val="30"/>
          <w:szCs w:val="30"/>
          <w:lang w:eastAsia="zh-CN"/>
        </w:rPr>
        <w:t>。</w:t>
      </w:r>
    </w:p>
    <w:tbl>
      <w:tblPr>
        <w:tblStyle w:val="2"/>
        <w:tblW w:w="905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54"/>
        <w:gridCol w:w="1664"/>
        <w:gridCol w:w="4512"/>
        <w:gridCol w:w="1827"/>
      </w:tblGrid>
      <w:tr w14:paraId="297B3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054" w:type="dxa"/>
            <w:vAlign w:val="top"/>
          </w:tcPr>
          <w:p w14:paraId="0E9CF5A7">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6176" w:type="dxa"/>
            <w:gridSpan w:val="2"/>
            <w:vAlign w:val="top"/>
          </w:tcPr>
          <w:p w14:paraId="53A912E8">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信息系统/服务项目</w:t>
            </w:r>
          </w:p>
        </w:tc>
        <w:tc>
          <w:tcPr>
            <w:tcW w:w="1827" w:type="dxa"/>
            <w:vAlign w:val="top"/>
          </w:tcPr>
          <w:p w14:paraId="697136B6">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级别</w:t>
            </w:r>
          </w:p>
        </w:tc>
      </w:tr>
      <w:tr w14:paraId="6F649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trPr>
        <w:tc>
          <w:tcPr>
            <w:tcW w:w="1054" w:type="dxa"/>
            <w:vAlign w:val="center"/>
          </w:tcPr>
          <w:p w14:paraId="236B8A4C">
            <w:pPr>
              <w:spacing w:line="360" w:lineRule="auto"/>
              <w:jc w:val="center"/>
              <w:rPr>
                <w:rFonts w:hint="eastAsia" w:ascii="仿宋" w:hAnsi="仿宋" w:eastAsia="仿宋" w:cs="Times New Roman"/>
                <w:sz w:val="24"/>
                <w:szCs w:val="24"/>
              </w:rPr>
            </w:pPr>
            <w:r>
              <w:rPr>
                <w:rFonts w:hint="default" w:ascii="仿宋" w:hAnsi="仿宋" w:eastAsia="仿宋" w:cs="Times New Roman"/>
                <w:sz w:val="24"/>
                <w:szCs w:val="24"/>
                <w:lang w:val="en-US"/>
              </w:rPr>
              <w:t>1</w:t>
            </w:r>
          </w:p>
        </w:tc>
        <w:tc>
          <w:tcPr>
            <w:tcW w:w="6176" w:type="dxa"/>
            <w:gridSpan w:val="2"/>
            <w:vAlign w:val="center"/>
          </w:tcPr>
          <w:p w14:paraId="62B6E7F1">
            <w:pPr>
              <w:pStyle w:val="4"/>
              <w:spacing w:line="360" w:lineRule="auto"/>
              <w:jc w:val="center"/>
              <w:rPr>
                <w:rFonts w:hint="eastAsia" w:ascii="仿宋" w:hAnsi="仿宋" w:eastAsia="仿宋"/>
                <w:sz w:val="24"/>
                <w:szCs w:val="24"/>
              </w:rPr>
            </w:pPr>
            <w:r>
              <w:rPr>
                <w:rFonts w:hint="default" w:ascii="仿宋" w:hAnsi="仿宋" w:eastAsia="仿宋"/>
                <w:sz w:val="24"/>
                <w:szCs w:val="24"/>
                <w:lang w:val="en-US"/>
              </w:rPr>
              <w:t>海南省体育娱乐视频电子即开型彩票系统(二代) 测评</w:t>
            </w:r>
          </w:p>
        </w:tc>
        <w:tc>
          <w:tcPr>
            <w:tcW w:w="1827" w:type="dxa"/>
            <w:vAlign w:val="center"/>
          </w:tcPr>
          <w:p w14:paraId="04BAA2F3">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第二</w:t>
            </w:r>
            <w:r>
              <w:rPr>
                <w:rFonts w:hint="default" w:ascii="仿宋" w:hAnsi="仿宋" w:eastAsia="仿宋" w:cs="Times New Roman"/>
                <w:sz w:val="24"/>
                <w:szCs w:val="24"/>
                <w:lang w:val="en-US"/>
              </w:rPr>
              <w:t>级</w:t>
            </w:r>
          </w:p>
        </w:tc>
      </w:tr>
      <w:tr w14:paraId="28F2B7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54" w:type="dxa"/>
            <w:vAlign w:val="center"/>
          </w:tcPr>
          <w:p w14:paraId="6DAC0A88">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6176" w:type="dxa"/>
            <w:gridSpan w:val="2"/>
            <w:vAlign w:val="center"/>
          </w:tcPr>
          <w:p w14:paraId="32EB435F">
            <w:pPr>
              <w:pStyle w:val="4"/>
              <w:spacing w:line="360" w:lineRule="auto"/>
              <w:jc w:val="center"/>
              <w:rPr>
                <w:rFonts w:hint="default" w:ascii="仿宋" w:hAnsi="仿宋" w:eastAsia="仿宋"/>
                <w:sz w:val="24"/>
                <w:szCs w:val="24"/>
                <w:lang w:val="en-US"/>
              </w:rPr>
            </w:pPr>
            <w:r>
              <w:rPr>
                <w:rFonts w:hint="default" w:ascii="仿宋" w:hAnsi="仿宋" w:eastAsia="仿宋"/>
                <w:sz w:val="24"/>
                <w:szCs w:val="24"/>
                <w:lang w:val="en-US"/>
              </w:rPr>
              <w:t>海南责任彩票建设及公益品牌宣传网站 测评</w:t>
            </w:r>
          </w:p>
        </w:tc>
        <w:tc>
          <w:tcPr>
            <w:tcW w:w="1827" w:type="dxa"/>
            <w:vAlign w:val="center"/>
          </w:tcPr>
          <w:p w14:paraId="3F334FB9">
            <w:pPr>
              <w:spacing w:line="360" w:lineRule="auto"/>
              <w:jc w:val="center"/>
              <w:rPr>
                <w:rFonts w:hint="default" w:ascii="仿宋" w:hAnsi="仿宋" w:eastAsia="仿宋" w:cs="Times New Roman"/>
                <w:sz w:val="24"/>
                <w:szCs w:val="24"/>
                <w:lang w:val="en-US"/>
              </w:rPr>
            </w:pPr>
            <w:r>
              <w:rPr>
                <w:rFonts w:hint="eastAsia" w:ascii="仿宋" w:hAnsi="仿宋" w:eastAsia="仿宋" w:cs="Times New Roman"/>
                <w:sz w:val="24"/>
                <w:szCs w:val="24"/>
                <w:lang w:val="en-US" w:eastAsia="zh-CN"/>
              </w:rPr>
              <w:t>第二</w:t>
            </w:r>
            <w:r>
              <w:rPr>
                <w:rFonts w:hint="default" w:ascii="仿宋" w:hAnsi="仿宋" w:eastAsia="仿宋" w:cs="Times New Roman"/>
                <w:sz w:val="24"/>
                <w:szCs w:val="24"/>
                <w:lang w:val="en-US"/>
              </w:rPr>
              <w:t>级</w:t>
            </w:r>
          </w:p>
        </w:tc>
      </w:tr>
      <w:tr w14:paraId="2E85D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54" w:type="dxa"/>
            <w:vAlign w:val="center"/>
          </w:tcPr>
          <w:p w14:paraId="40B049B1">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664" w:type="dxa"/>
            <w:vAlign w:val="center"/>
          </w:tcPr>
          <w:p w14:paraId="0D1FDC69">
            <w:pPr>
              <w:spacing w:line="360" w:lineRule="auto"/>
              <w:jc w:val="center"/>
              <w:rPr>
                <w:rFonts w:hint="eastAsia" w:ascii="仿宋" w:hAnsi="仿宋" w:eastAsia="仿宋" w:cs="Arial"/>
                <w:b w:val="0"/>
                <w:bCs/>
                <w:sz w:val="24"/>
                <w:szCs w:val="24"/>
              </w:rPr>
            </w:pPr>
            <w:r>
              <w:rPr>
                <w:rFonts w:hint="eastAsia" w:ascii="仿宋" w:hAnsi="仿宋" w:eastAsia="仿宋" w:cs="Arial"/>
                <w:b w:val="0"/>
                <w:bCs/>
                <w:sz w:val="24"/>
                <w:szCs w:val="24"/>
              </w:rPr>
              <w:t>网络安全建设整改方案设计服务</w:t>
            </w:r>
          </w:p>
        </w:tc>
        <w:tc>
          <w:tcPr>
            <w:tcW w:w="6339" w:type="dxa"/>
            <w:gridSpan w:val="2"/>
            <w:vAlign w:val="center"/>
          </w:tcPr>
          <w:p w14:paraId="33DADF05">
            <w:pPr>
              <w:spacing w:line="360" w:lineRule="auto"/>
              <w:jc w:val="both"/>
              <w:rPr>
                <w:rFonts w:hint="eastAsia" w:ascii="仿宋" w:hAnsi="仿宋" w:eastAsia="仿宋" w:cs="Arial"/>
                <w:b w:val="0"/>
                <w:bCs/>
                <w:sz w:val="24"/>
                <w:szCs w:val="24"/>
              </w:rPr>
            </w:pPr>
            <w:r>
              <w:rPr>
                <w:rFonts w:hint="eastAsia" w:ascii="仿宋" w:hAnsi="仿宋" w:eastAsia="仿宋" w:cs="Arial"/>
                <w:b w:val="0"/>
                <w:bCs/>
                <w:sz w:val="24"/>
                <w:szCs w:val="24"/>
              </w:rPr>
              <w:t>测评结束后，按照国家有关规定和标准规范要求，坚持管理和技术并重的原则，向用户进行报告解读，并将技术措施和管理措施有机结合，建立信息系统综合防护体系，提供整改方案，指导用户进行整改，以达到提高信息系统整体安全保护能力。</w:t>
            </w:r>
          </w:p>
          <w:p w14:paraId="7A84BB52">
            <w:pPr>
              <w:spacing w:line="360" w:lineRule="auto"/>
              <w:jc w:val="left"/>
              <w:rPr>
                <w:rFonts w:hint="eastAsia" w:ascii="仿宋" w:hAnsi="仿宋" w:eastAsia="仿宋" w:cs="Arial"/>
                <w:b w:val="0"/>
                <w:bCs/>
                <w:sz w:val="24"/>
                <w:szCs w:val="24"/>
              </w:rPr>
            </w:pPr>
            <w:r>
              <w:rPr>
                <w:rFonts w:hint="eastAsia" w:ascii="仿宋" w:hAnsi="仿宋" w:eastAsia="仿宋" w:cs="Arial"/>
                <w:b w:val="0"/>
                <w:bCs/>
                <w:sz w:val="24"/>
                <w:szCs w:val="24"/>
              </w:rPr>
              <w:t>服务成果：出具《网络安全</w:t>
            </w:r>
            <w:r>
              <w:rPr>
                <w:rFonts w:hint="eastAsia" w:ascii="仿宋" w:hAnsi="仿宋" w:eastAsia="仿宋" w:cs="Arial"/>
                <w:b w:val="0"/>
                <w:bCs/>
                <w:sz w:val="24"/>
                <w:szCs w:val="24"/>
                <w:lang w:val="en-US" w:eastAsia="zh-CN"/>
              </w:rPr>
              <w:t>整改建议</w:t>
            </w:r>
            <w:r>
              <w:rPr>
                <w:rFonts w:hint="eastAsia" w:ascii="仿宋" w:hAnsi="仿宋" w:eastAsia="仿宋" w:cs="Arial"/>
                <w:b w:val="0"/>
                <w:bCs/>
                <w:sz w:val="24"/>
                <w:szCs w:val="24"/>
              </w:rPr>
              <w:t>》。</w:t>
            </w:r>
          </w:p>
        </w:tc>
      </w:tr>
      <w:tr w14:paraId="3D117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54" w:type="dxa"/>
            <w:tcBorders>
              <w:top w:val="single" w:color="auto" w:sz="2" w:space="0"/>
              <w:left w:val="single" w:color="auto" w:sz="12" w:space="0"/>
              <w:bottom w:val="single" w:color="auto" w:sz="12" w:space="0"/>
              <w:right w:val="single" w:color="auto" w:sz="2" w:space="0"/>
            </w:tcBorders>
            <w:vAlign w:val="center"/>
          </w:tcPr>
          <w:p w14:paraId="050AFC0C">
            <w:pPr>
              <w:adjustRightInd w:val="0"/>
              <w:snapToGrid w:val="0"/>
              <w:spacing w:line="360" w:lineRule="auto"/>
              <w:jc w:val="center"/>
              <w:rPr>
                <w:rFonts w:hint="eastAsia" w:ascii="仿宋" w:hAnsi="仿宋" w:eastAsia="仿宋" w:cs="Arial"/>
                <w:sz w:val="24"/>
                <w:szCs w:val="24"/>
                <w:lang w:eastAsia="zh-CN"/>
              </w:rPr>
            </w:pPr>
            <w:r>
              <w:rPr>
                <w:rFonts w:hint="eastAsia" w:ascii="仿宋" w:hAnsi="仿宋" w:eastAsia="仿宋" w:cs="Arial"/>
                <w:sz w:val="24"/>
                <w:szCs w:val="24"/>
                <w:lang w:val="en-US" w:eastAsia="zh-CN"/>
              </w:rPr>
              <w:t>4</w:t>
            </w:r>
          </w:p>
        </w:tc>
        <w:tc>
          <w:tcPr>
            <w:tcW w:w="1664" w:type="dxa"/>
            <w:tcBorders>
              <w:top w:val="single" w:color="auto" w:sz="2" w:space="0"/>
              <w:left w:val="single" w:color="auto" w:sz="2" w:space="0"/>
              <w:bottom w:val="single" w:color="auto" w:sz="12" w:space="0"/>
              <w:right w:val="single" w:color="auto" w:sz="2" w:space="0"/>
            </w:tcBorders>
            <w:vAlign w:val="center"/>
          </w:tcPr>
          <w:p w14:paraId="452B4B36">
            <w:pPr>
              <w:adjustRightInd w:val="0"/>
              <w:snapToGrid w:val="0"/>
              <w:spacing w:line="360" w:lineRule="auto"/>
              <w:jc w:val="center"/>
              <w:rPr>
                <w:rFonts w:ascii="仿宋" w:hAnsi="仿宋" w:eastAsia="仿宋" w:cs="Arial"/>
                <w:sz w:val="24"/>
                <w:szCs w:val="24"/>
              </w:rPr>
            </w:pPr>
            <w:r>
              <w:rPr>
                <w:rFonts w:hint="eastAsia" w:ascii="仿宋" w:hAnsi="仿宋" w:eastAsia="仿宋" w:cs="Arial"/>
                <w:sz w:val="24"/>
                <w:szCs w:val="24"/>
              </w:rPr>
              <w:t>测评实施过程及结果输出</w:t>
            </w:r>
          </w:p>
        </w:tc>
        <w:tc>
          <w:tcPr>
            <w:tcW w:w="6339" w:type="dxa"/>
            <w:gridSpan w:val="2"/>
            <w:tcBorders>
              <w:top w:val="single" w:color="auto" w:sz="2" w:space="0"/>
              <w:left w:val="single" w:color="auto" w:sz="2" w:space="0"/>
              <w:bottom w:val="single" w:color="auto" w:sz="12" w:space="0"/>
              <w:right w:val="single" w:color="auto" w:sz="12" w:space="0"/>
            </w:tcBorders>
            <w:vAlign w:val="top"/>
          </w:tcPr>
          <w:p w14:paraId="4F5D7EF3">
            <w:pPr>
              <w:spacing w:line="360" w:lineRule="auto"/>
              <w:rPr>
                <w:rFonts w:ascii="仿宋" w:hAnsi="仿宋" w:eastAsia="仿宋" w:cs="Arial"/>
                <w:sz w:val="24"/>
                <w:szCs w:val="24"/>
              </w:rPr>
            </w:pPr>
            <w:r>
              <w:rPr>
                <w:rFonts w:hint="eastAsia" w:ascii="仿宋" w:hAnsi="仿宋" w:eastAsia="仿宋" w:cs="Arial"/>
                <w:b/>
                <w:sz w:val="24"/>
                <w:szCs w:val="24"/>
              </w:rPr>
              <w:t>实施过程：</w:t>
            </w:r>
            <w:r>
              <w:rPr>
                <w:rFonts w:hint="eastAsia" w:ascii="仿宋" w:hAnsi="仿宋" w:eastAsia="仿宋" w:cs="Arial"/>
                <w:sz w:val="24"/>
                <w:szCs w:val="24"/>
              </w:rPr>
              <w:t>依据《网络安全等级保护基本要求 GB/T22239-2019》和《网络安全等级保护测评要求 GB/T28448-2019》等相关文件及标准要求，对</w:t>
            </w:r>
            <w:r>
              <w:rPr>
                <w:rFonts w:hint="eastAsia" w:ascii="仿宋" w:hAnsi="仿宋" w:eastAsia="仿宋" w:cs="Arial"/>
                <w:sz w:val="24"/>
                <w:szCs w:val="24"/>
                <w:lang w:val="en-US" w:eastAsia="zh-CN"/>
              </w:rPr>
              <w:t>系统状态为运行</w:t>
            </w:r>
            <w:r>
              <w:rPr>
                <w:rFonts w:hint="eastAsia" w:ascii="仿宋" w:hAnsi="仿宋" w:eastAsia="仿宋" w:cs="Arial"/>
                <w:sz w:val="24"/>
                <w:szCs w:val="24"/>
              </w:rPr>
              <w:t>的信息系统进行等保测评分析</w:t>
            </w:r>
            <w:r>
              <w:rPr>
                <w:rFonts w:hint="eastAsia" w:ascii="仿宋" w:hAnsi="仿宋" w:eastAsia="仿宋" w:cs="Arial"/>
                <w:sz w:val="24"/>
                <w:szCs w:val="24"/>
                <w:lang w:eastAsia="zh-CN"/>
              </w:rPr>
              <w:t>：</w:t>
            </w:r>
            <w:r>
              <w:rPr>
                <w:rFonts w:hint="eastAsia" w:ascii="仿宋" w:hAnsi="仿宋" w:eastAsia="仿宋" w:cs="Arial"/>
                <w:sz w:val="24"/>
                <w:szCs w:val="24"/>
              </w:rPr>
              <w:t>从安全物理环境、安全通 信网络、安全区域边界、安全计算环境、安全管理中心、安全管理制度、安全管理机构、安全管理人员、安全建设管理、安全运维管理等十个方面，按照网络安全保护等级的基本要求进行测评。</w:t>
            </w:r>
          </w:p>
          <w:p w14:paraId="16CCB313">
            <w:pPr>
              <w:spacing w:line="360" w:lineRule="auto"/>
              <w:rPr>
                <w:rFonts w:ascii="仿宋" w:hAnsi="仿宋" w:eastAsia="仿宋" w:cs="Arial"/>
                <w:sz w:val="24"/>
                <w:szCs w:val="24"/>
              </w:rPr>
            </w:pPr>
            <w:r>
              <w:rPr>
                <w:rFonts w:hint="eastAsia" w:ascii="仿宋" w:hAnsi="仿宋" w:eastAsia="仿宋" w:cs="Arial"/>
                <w:b/>
                <w:sz w:val="24"/>
                <w:szCs w:val="24"/>
              </w:rPr>
              <w:t>结果输出：</w:t>
            </w:r>
            <w:r>
              <w:rPr>
                <w:rFonts w:hint="eastAsia" w:ascii="仿宋" w:hAnsi="仿宋" w:eastAsia="仿宋" w:cs="Arial"/>
                <w:sz w:val="24"/>
                <w:szCs w:val="24"/>
              </w:rPr>
              <w:t>《网络安全等级保护测评报告》及提出具有针对性的整改方案。</w:t>
            </w:r>
          </w:p>
        </w:tc>
      </w:tr>
    </w:tbl>
    <w:p w14:paraId="060707F1">
      <w:pPr>
        <w:spacing w:line="56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val="en-US" w:eastAsia="zh-CN"/>
        </w:rPr>
        <w:t>三、服务</w:t>
      </w:r>
      <w:r>
        <w:rPr>
          <w:rFonts w:hint="eastAsia" w:ascii="仿宋_GB2312" w:hAnsi="仿宋_GB2312" w:eastAsia="仿宋_GB2312" w:cs="仿宋_GB2312"/>
          <w:b/>
          <w:bCs/>
          <w:color w:val="000000"/>
          <w:sz w:val="30"/>
          <w:szCs w:val="30"/>
        </w:rPr>
        <w:t>要求</w:t>
      </w:r>
    </w:p>
    <w:p w14:paraId="78788298">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1.信息系统安全等级保护符合性测评</w:t>
      </w:r>
    </w:p>
    <w:p w14:paraId="410882EB">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按照公安部制订的信息系统安全等级测评报告格式编制等级测评报告，报告中必须明确相应信息系统是否满足等级保护要求。</w:t>
      </w:r>
    </w:p>
    <w:p w14:paraId="2FC83BAC">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2.整改方案编制</w:t>
      </w:r>
    </w:p>
    <w:p w14:paraId="286B0F6D">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根据测评结果，应针对性的提出整改建议方案。整改建议方案应具有可操作性，符合用户实际情况，且能够切实解决问题。</w:t>
      </w:r>
    </w:p>
    <w:p w14:paraId="2BE24308">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整改建议方案应明确设计依据、整改内容、整改方案、能够解决的问题、投资概算以及风险评估。</w:t>
      </w:r>
    </w:p>
    <w:p w14:paraId="66DD3168">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在整改实施过程中，应全力支持，负责技术把关、整改验收以及其他咨询工作。</w:t>
      </w:r>
    </w:p>
    <w:p w14:paraId="2DBEA3B3">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3.交付成果和报告</w:t>
      </w:r>
    </w:p>
    <w:p w14:paraId="1984F6CC">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《信息系统安全等级保护测评报告》</w:t>
      </w:r>
    </w:p>
    <w:p w14:paraId="7ECD3998">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《整改建议方案》</w:t>
      </w:r>
    </w:p>
    <w:p w14:paraId="097C7451">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测评过程材料，包括调研表、技术测评记录、会议纪要等。</w:t>
      </w:r>
    </w:p>
    <w:p w14:paraId="53A29BC1">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4.服务验收标准</w:t>
      </w:r>
    </w:p>
    <w:p w14:paraId="68B82885">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服务通过验收须满足以下所有条件：</w:t>
      </w:r>
    </w:p>
    <w:p w14:paraId="24562A60">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1)完成信息系统测评并出具《测评报告》</w:t>
      </w:r>
    </w:p>
    <w:p w14:paraId="4698D1FD">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2)针对性的制定整改方案，并出具《整改建议方案》</w:t>
      </w:r>
    </w:p>
    <w:p w14:paraId="6DFE7B32">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3)提交调研表、技术测评记录、会议纪要等服务过程材料</w:t>
      </w:r>
    </w:p>
    <w:p w14:paraId="4843097F">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4)符合省级以上公安部门提出的信息安全等级保护测评相关要求</w:t>
      </w:r>
    </w:p>
    <w:p w14:paraId="4188BE45">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5.服务人员要求</w:t>
      </w:r>
    </w:p>
    <w:p w14:paraId="618A364E">
      <w:pPr>
        <w:ind w:firstLine="600" w:firstLineChars="20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为确保项目实施顺利，本项目的项目</w:t>
      </w:r>
      <w:r>
        <w:rPr>
          <w:rFonts w:hint="eastAsia" w:ascii="仿宋_GB2312" w:hAnsi="仿宋_GB2312" w:eastAsia="仿宋_GB2312" w:cs="仿宋_GB2312"/>
          <w:sz w:val="30"/>
          <w:szCs w:val="30"/>
          <w:lang w:val="en-US" w:eastAsia="zh-CN"/>
        </w:rPr>
        <w:t>经理</w:t>
      </w:r>
      <w:r>
        <w:rPr>
          <w:rFonts w:hint="default" w:ascii="仿宋_GB2312" w:hAnsi="仿宋_GB2312" w:eastAsia="仿宋_GB2312" w:cs="仿宋_GB2312"/>
          <w:sz w:val="30"/>
          <w:szCs w:val="30"/>
          <w:lang w:val="en-US" w:eastAsia="zh-CN"/>
        </w:rPr>
        <w:t>必须具有5年以上等保测评服务项目管理经验，具备等级保护高级测评师资格，并具有国家重要信息系统保护人员（CIIP-T）证书或省级及以上信息安全等级保护专家委员会专家证书</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项目经理全面负责本项目实施开展工作，保证项目测评服务的连续性。项目经理每两周前往现场做项目汇报，如有应急事件需要</w:t>
      </w:r>
      <w:r>
        <w:rPr>
          <w:rFonts w:hint="eastAsia" w:ascii="仿宋_GB2312" w:hAnsi="仿宋_GB2312" w:eastAsia="仿宋_GB2312" w:cs="仿宋_GB2312"/>
          <w:sz w:val="30"/>
          <w:szCs w:val="30"/>
          <w:lang w:val="en-US" w:eastAsia="zh-CN"/>
        </w:rPr>
        <w:t>2</w:t>
      </w:r>
      <w:r>
        <w:rPr>
          <w:rFonts w:hint="default" w:ascii="仿宋_GB2312" w:hAnsi="仿宋_GB2312" w:eastAsia="仿宋_GB2312" w:cs="仿宋_GB2312"/>
          <w:sz w:val="30"/>
          <w:szCs w:val="30"/>
          <w:lang w:val="en-US" w:eastAsia="zh-CN"/>
        </w:rPr>
        <w:t>小时内到现场响应，本项目实施团队在项目实施期间必须全部在本省工作。</w:t>
      </w:r>
      <w:r>
        <w:rPr>
          <w:rFonts w:hint="eastAsia" w:ascii="仿宋_GB2312" w:hAnsi="仿宋_GB2312" w:eastAsia="仿宋_GB2312" w:cs="仿宋_GB2312"/>
          <w:sz w:val="30"/>
          <w:szCs w:val="30"/>
          <w:lang w:val="en-US" w:eastAsia="zh-CN"/>
        </w:rPr>
        <w:t>项目经理</w:t>
      </w:r>
      <w:r>
        <w:rPr>
          <w:rFonts w:hint="default" w:ascii="仿宋_GB2312" w:hAnsi="仿宋_GB2312" w:eastAsia="仿宋_GB2312" w:cs="仿宋_GB2312"/>
          <w:sz w:val="30"/>
          <w:szCs w:val="30"/>
          <w:lang w:val="en-US" w:eastAsia="zh-CN"/>
        </w:rPr>
        <w:t>负责本项目实施的正常运行，出现问题需向</w:t>
      </w:r>
      <w:r>
        <w:rPr>
          <w:rFonts w:hint="eastAsia" w:ascii="仿宋_GB2312" w:hAnsi="仿宋_GB2312" w:eastAsia="仿宋_GB2312" w:cs="仿宋_GB2312"/>
          <w:sz w:val="30"/>
          <w:szCs w:val="30"/>
          <w:lang w:val="en-US" w:eastAsia="zh-CN"/>
        </w:rPr>
        <w:t>我中心</w:t>
      </w:r>
      <w:r>
        <w:rPr>
          <w:rFonts w:hint="default" w:ascii="仿宋_GB2312" w:hAnsi="仿宋_GB2312" w:eastAsia="仿宋_GB2312" w:cs="仿宋_GB2312"/>
          <w:sz w:val="30"/>
          <w:szCs w:val="30"/>
          <w:lang w:val="en-US" w:eastAsia="zh-CN"/>
        </w:rPr>
        <w:t>及时报备</w:t>
      </w:r>
      <w:r>
        <w:rPr>
          <w:rFonts w:hint="eastAsia" w:ascii="仿宋_GB2312" w:hAnsi="仿宋_GB2312" w:eastAsia="仿宋_GB2312" w:cs="仿宋_GB2312"/>
          <w:sz w:val="30"/>
          <w:szCs w:val="30"/>
          <w:lang w:val="en-US" w:eastAsia="zh-CN"/>
        </w:rPr>
        <w:t>；本项目成员中至少有4人具备中级或中级以上网络安全等级保护测评师资格。</w:t>
      </w:r>
    </w:p>
    <w:p w14:paraId="25F5C21E">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5.售后服务及其它要求</w:t>
      </w:r>
    </w:p>
    <w:p w14:paraId="1AE36BA6">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提供项目验收后2年的技术支持和咨询服务，技术支持和咨询服务包括（但不限于）：</w:t>
      </w:r>
    </w:p>
    <w:p w14:paraId="54315366">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如在测评中出现不符合项，中标人需要提供相应的整改建议及相关方案。对于测评中发现的主机和网络设备漏洞，应提供项目验收后一年的跟踪服务，对本次评估范围内的问题提供远程技术咨询，对于漏洞的修补、问题的排除给出建议和指导，自项目验收通过之日起计算。</w:t>
      </w:r>
    </w:p>
    <w:p w14:paraId="0F8E5D6D">
      <w:pPr>
        <w:ind w:firstLine="600" w:firstLineChars="200"/>
      </w:pPr>
      <w:bookmarkStart w:id="0" w:name="_GoBack"/>
      <w:bookmarkEnd w:id="0"/>
      <w:r>
        <w:rPr>
          <w:rFonts w:hint="eastAsia" w:ascii="仿宋_GB2312" w:hAnsi="仿宋_GB2312" w:eastAsia="仿宋_GB2312" w:cs="仿宋_GB2312"/>
          <w:sz w:val="30"/>
          <w:szCs w:val="30"/>
          <w:lang w:val="en-US" w:eastAsia="zh-CN"/>
        </w:rPr>
        <w:t>（2）提供一年7×24小时技术支持和服务，对重大问题提供现场技术咨询支持，24小时内到达指定现场。问题解决后24小时内，提交问题处理报告，说明问题种类、问题原因、问题解决中使用的方法及造成的损失等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65CE4"/>
    <w:rsid w:val="6276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2025-03-25T01:01:00Z</dcterms:created>
  <dc:creator>Mr.Wu</dc:creator>
  <cp:lastModifiedBy>Mr.Wu</cp:lastModifiedBy>
  <dcterms:modified xsi:type="dcterms:W3CDTF">2025-03-25T01:02:47Z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6D109BFA4F2D4E76887098FCB4C0A822_11</vt:lpwstr>
  </property>
  <property fmtid="{D5CDD505-2E9C-101B-9397-08002B2CF9AE}" pid="4" name="KSOTemplateDocerSaveRecord">
    <vt:lpwstr>eyJoZGlkIjoiODhmODQyODVkNDQzZDk3NTcwYTVmZjBiODM4OTk0NzIiLCJ1c2VySWQiOiI0NjE0OTM5NjgifQ==</vt:lpwstr>
  </property>
</Properties>
</file>